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15" w:rsidRPr="00C46715" w:rsidRDefault="00C46715" w:rsidP="00C46715">
      <w:pPr>
        <w:shd w:val="clear" w:color="auto" w:fill="FFFFFF"/>
        <w:spacing w:after="0" w:line="525" w:lineRule="atLeast"/>
        <w:outlineLvl w:val="0"/>
        <w:rPr>
          <w:rFonts w:ascii="Segoe UI" w:eastAsia="Times New Roman" w:hAnsi="Segoe UI" w:cs="Segoe UI"/>
          <w:b/>
          <w:bCs/>
          <w:caps/>
          <w:color w:val="777777"/>
          <w:kern w:val="36"/>
          <w:sz w:val="38"/>
          <w:szCs w:val="38"/>
          <w:lang w:eastAsia="ru-RU"/>
        </w:rPr>
      </w:pPr>
      <w:r w:rsidRPr="00C46715">
        <w:rPr>
          <w:rFonts w:ascii="Segoe UI" w:eastAsia="Times New Roman" w:hAnsi="Segoe UI" w:cs="Segoe UI"/>
          <w:b/>
          <w:bCs/>
          <w:caps/>
          <w:color w:val="777777"/>
          <w:kern w:val="36"/>
          <w:sz w:val="38"/>
          <w:szCs w:val="38"/>
          <w:lang w:eastAsia="ru-RU"/>
        </w:rPr>
        <w:t>БТР-80 – БРОНЕТРАНСПОРТЁР</w:t>
      </w:r>
    </w:p>
    <w:p w:rsidR="00C46715" w:rsidRPr="00C46715" w:rsidRDefault="00C46715" w:rsidP="00C46715">
      <w:pPr>
        <w:shd w:val="clear" w:color="auto" w:fill="FFFFFF"/>
        <w:spacing w:before="225" w:after="225" w:line="300" w:lineRule="atLeast"/>
        <w:jc w:val="center"/>
        <w:rPr>
          <w:rFonts w:ascii="Segoe UI" w:eastAsia="Times New Roman" w:hAnsi="Segoe UI" w:cs="Segoe UI"/>
          <w:color w:val="888888"/>
          <w:sz w:val="21"/>
          <w:szCs w:val="21"/>
          <w:lang w:eastAsia="ru-RU"/>
        </w:rPr>
      </w:pPr>
      <w:r w:rsidRPr="00C46715">
        <w:rPr>
          <w:rFonts w:ascii="Segoe UI" w:eastAsia="Times New Roman" w:hAnsi="Segoe UI" w:cs="Segoe UI"/>
          <w:noProof/>
          <w:color w:val="0000FF"/>
          <w:sz w:val="21"/>
          <w:szCs w:val="21"/>
          <w:lang w:eastAsia="ru-RU"/>
        </w:rPr>
        <w:drawing>
          <wp:inline distT="0" distB="0" distL="0" distR="0" wp14:anchorId="2F840DE3" wp14:editId="78158000">
            <wp:extent cx="4286250" cy="2667000"/>
            <wp:effectExtent l="0" t="0" r="0" b="0"/>
            <wp:docPr id="1" name="Рисунок 1" descr="БТР-80 – бронетранспортё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ТР-80 – бронетранспортё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15" w:rsidRPr="00C46715" w:rsidRDefault="00C46715" w:rsidP="00C46715">
      <w:pPr>
        <w:shd w:val="clear" w:color="auto" w:fill="FFFFFF"/>
        <w:spacing w:before="225" w:line="300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C46715">
        <w:rPr>
          <w:rFonts w:ascii="Segoe UI" w:eastAsia="Times New Roman" w:hAnsi="Segoe UI" w:cs="Segoe UI"/>
          <w:color w:val="888888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Бронетранспортёр БТР-80 — боевая колёсная плавающая бронемашина, предназначенная для транспортировки личного состава мотострелковых подразделений и их огневой поддержки, в том числе и в условиях применения оружия массового поражения.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 xml:space="preserve">Броневой корпус БТР-80 сварен из катаных листов гомогенной броневой стали толщиной от 5 до 9 мм. 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Большинство листов вертикального бронирования БТР-80, за исключением нижних бортовых и кормового, установлены со значительными углами наклона.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Корпус имеет обтекаемую форму, повышающую его водоходные качества.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По назначению и расположению механизмов и оборудования машина условно разделена на три отделения: отделение управления, боевое отделение и отделение силовой установки.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 xml:space="preserve">В отделении управления, расположенном в передней части БТР, оборудованы места механика-водителя (слева) и командира машины (справа). В их распоряжении находятся: механика-водителя — четыре телескопических смотровых прибора ТНПО-115 (вместо одного из них в тёмное время суток может устанавливаться бинокулярный перископический прибор ТВНЕ-4Б с полем зрения 33х36° и дальностью видения до 120 м); командира — комбинированный (день-ночь) перископический бинокулярный прибор наблюдения ТКН-3 (кратность — 5х (день) и 4,2х (ночь), поле зрения — 10° и 8°, угол обзора — 100х46°, дальность видения ночью — до 400 м) и три смотровых прибора TНПО-115. При низкой освещённости для ТВНЕ-4Б осуществляется подсветка фарой ФГ125 с инфракрасным светофильтром. На бронетранспортёрах поздних выпусков механик-водитель получил еще один смотровой прибор для лучшего обзора по левому борту. Также, для наблюдения механик-водитель и командир могут использовать два, расположенных в верхнем лобовом листе, смотровых люка с ветровыми стёклами, которые в боевом положении закрываются </w:t>
      </w:r>
      <w:proofErr w:type="spell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бронекрышками</w:t>
      </w:r>
      <w:proofErr w:type="spell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. Имеются зеркала заднего вида. В отделении управления установлены: щиток контрольно-измерительных приборов, органы управления, радиостанция, аппарат переговорного устройства. В правой части лобового листа оборудована амбразура с шаровой опорой для ведения стрельбы из автомата. Механик-водитель и командир имеют два индивидуальных полукруглых люка над своими рабочими местами.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lastRenderedPageBreak/>
        <w:t xml:space="preserve">Боевое отделение находится в средней части корпуса. Здесь, сразу за креслами механика-водителя и командира установлены два одноместных сиденья для стрелка башенной пулемётной установки и одного из пехотинцев десанта. Сиденье десантника развёрнуто по ходу машины, чтобы обеспечить возможность ведения огня, а сиденье наводчика развёрнуто спиной к борту. Для ведения стрельбы наводчик занимает место на подвесном сиденье, установленном в башне. Остальные десантники располагаются лицом к борту на двух трёхместных сиденьях, смонтированных в боевом отделении вдоль продольной оси корпуса. 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Для наблюдения за полем боя в боевом отделении имеется шесть смотровых приборов (четыре ТНПО-115 и два ТНП-165А)).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Возле мест всех членов десанта в бортах имеются семь шаровых установок с углами горизонтальной наводки от ±15 до ±25° для стрельбы из личного оружия. Две амбразуры предназначены для ведения стрельбы из пулемётов (первая на левом борту и вторая на правом). Шаровые установки развёрнуты в направлении передней полусферы, в результате чего задняя полусфера является мёртвой зоной для десантников, небольшая мёртвая зона имеется и спереди слева. Шаровые опоры амбразур, позволяют стрелять без разгерметизации боевого отделения на заражённой местности. Также, ещё два лючка для обстрела верхней полусферы (без шаровых установок) имеются в десантных люках в крыше. В боевом отделении оборудованы укладки и места крепления для транспортировки личного оружия десанта: двух пулемётов ПК и двенадцати коробок с боекомплектом, восьми автоматов, одного РПГ-7 и двух сумок с выстрелами.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 xml:space="preserve">Высадка и посадка десанта осуществляется, в основном, через большие двухстворчатые бортовые 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двери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размещённые по обоим бортам сразу за башней. Верхняя крышка бортовой двери откидывается вперёд по ходу машины, а нижняя открывается вниз, становясь подножкой, что позволяет производить посадку и высадку десанта на ходу. Также, десант может покидать машину через два прямоугольных десантных люка, расположенных в крыше корпуса.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 xml:space="preserve">Силовое отделение находится в задней части корпуса и изолировано 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от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боевого герметичной перегородкой. В нём размещены: двигатель со сцеплением и коробкой передач, замок на коробку передач, представляющие единый силовой блок, водяные и масляные радиаторы, теплообменники, маслоохладитель коробки передач, предпусковой подогреватель двигателя, водомётный движитель, водооткачивающий насос, фильтровентиляционная установка, топливные баки, генераторы и другое оборудование. Доступ в силовое отделение осуществляется через три </w:t>
      </w:r>
      <w:proofErr w:type="spell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надмоторных</w:t>
      </w:r>
      <w:proofErr w:type="spell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люка и люк агрегата охлаждения, расположенных в крыше корпуса.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Вооружение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proofErr w:type="spellStart"/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Вооружение</w:t>
      </w:r>
      <w:proofErr w:type="spellEnd"/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БТР-80, размещаемое в башенной пулемётной установке БПУ-1, состоит из одного пулемёта КПВТ и одного пулемёта ПКТ. Для наблюдения за полем боя, определения расстояния для целей и наведения пулемётов башенная установка оснащена комбинированным перископическим прицелом 1П3-2, приборами наблюдения и механизмами наведения в горизонтальной и вертикальной плоскостях с ручными приводами. Пулемёт КПВТ предназначен для поражения: легкобронированных наземных целей на дальности до 1000 м; небронированных целей, огневых средств и групповых целей на дальности до 2000 м; 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воздушных </w:t>
      </w:r>
      <w:proofErr w:type="spell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малоскоростных</w:t>
      </w:r>
      <w:proofErr w:type="spell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целей на высотах до 1500 м при наклонной дальности до 2000 м. Пулемёт ПКТ предназначен для поражения наземных небронированных целей, огневых средств и живой силы на дальностях до 1000 м. Угол горизонтальной наводки — 360°, угол 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lastRenderedPageBreak/>
        <w:t>вертикальной наводки -4…+60°. Боекомплект КПВТ — 500 патронов (10 коробок), ПКТ — 2000 патронов (8 коробок).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Прицел 1П3-2 — комбинированный, перископический со сменным увеличением — 1,2х и 4х, поле зрения — 49° и 14°, соответственно. В распоряжении наводчика имеются приборы наблюдения: 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перископический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ТНП-205 — для наблюдения за левым сектором; ТНПТ-1 — для наблюдения в заднем секторе.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В состав дополнительного вооружения входят: два ПЗРК, девять гранат Ф-1, сигнальный пистолет с десятью патронами.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На бронетранспортёрах поздних выпусков для освещения целей при стрельбе ночью на консоли пулемётной установки смонтирован осветитель ОУ-3ГА2М, который может работать в инфракрасном или видимом спектрах.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Для постановки маскирующих дымовых завес машина оснащена системой 902В включающей шесть, установленных на задней части башни, гранатомётов для стрельбы дымовыми гранатами 3Д6.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Силовая установка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 xml:space="preserve">Силовая установка БТР-80 состоит из двигателя в сборе со сцеплением и коробкой передач и обслуживающих систем. Двигатель — V-образный (угол развала — 90°) четырёхтактный восьмицилиндровый дизель КамАЗ-7403 жидкостного охлаждения с турбокомпрессорным надувом. 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Мощность — 260 </w:t>
      </w:r>
      <w:proofErr w:type="spell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л.с</w:t>
      </w:r>
      <w:proofErr w:type="spell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. (191 кВт), рабочий объём — 10,85 л, частота вращения на максимальной мощность — 2600 об/мин. На двигателе смонтированы воздушный компрессор, гидронасос, топливные и масляные фильтры, два генератора и котёл предпускового подогревателя.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Питание топливом производится из двух баков ёмкостью по 150 литров.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Максимальная скорость по шоссе — не менее 80 км/ч, на плаву — не менее 9 км/ч. Запас хода по шоссе — 600 км.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Для облегчения пуска холодного двигателя при температуре окружающего воздуха от -5…-20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°С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используется </w:t>
      </w:r>
      <w:proofErr w:type="spell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электрофакельное</w:t>
      </w:r>
      <w:proofErr w:type="spell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устройство, которое подогревает воздух факелом пламени, образующимся от сгорания во впускных трубопроводах топлива во время стартерной прокрутки и начальной работы двигателя до выхода его на устойчивый режим.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Трансмиссия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proofErr w:type="spellStart"/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Трансмиссия</w:t>
      </w:r>
      <w:proofErr w:type="spellEnd"/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БТР-80 — механическая ступенчатая. В её состав входят: сцепление, коробка передач, раздаточная коробка, карданные передачи, мосты, колёсные редукторы. Сцепление — фрикционное, сухое, двухдисковое. Коробка передач — механическая, с неподвижными осями валов, пятиступенчатая, трёхходовая, с шестернями постоянного зацепления. Обеспечивает 5 передач вперёд и 1 назад. Раздаточная коробка — межосевая, механическая, двухступенчатая. Карданные передачи, состоящие из 19 валов, передают крутящий момент к колёсным редукторам, водомётному движителю и лебёдке. Все четыре моста БТР — ведущие с полностью разгруженными полуосями и кулачковыми дифференциалами повышенного трения. Предусмотрена принудительная блокировка межосевого дифференциала для тяжелых 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lastRenderedPageBreak/>
        <w:t>дорожных условий. Колёсные редукторы — одноступенчатые, с косозубыми цилиндрическими шестернями.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Ходовая часть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 xml:space="preserve">Ходовая часть БТР-80 выполнена по колёсной формуле 8×8 с двумя парами передних управляемых колес. Подвеска машины — независимая, рычажная, торсионная, с телескопическими амортизаторами двухстороннего действия. Колёса с разъёмным ободом. Шины КИ-80Н — бескамерные, толстостенные, пулестойкие, с регулируемым давлением. Допускают кратковременное движение без избыточного давления. БТР оборудован системой централизованного регулирования давления воздуха в шинах. Рабочее давление — 50-300 кПа. БТР-80 может продолжить движение при полном выходе из строя одного или двух колёс. Тормозные системы: рабочая (действует на все 8 колёс), стояночная (действует на трансмиссию), </w:t>
      </w:r>
      <w:proofErr w:type="spell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противоскатное</w:t>
      </w:r>
      <w:proofErr w:type="spell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устройство (стопорит трансмиссию).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 xml:space="preserve">Движение по воде обеспечивается работой одноступенчатого одновального водомётного движителя с </w:t>
      </w:r>
      <w:proofErr w:type="spell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четырёхлопастным</w:t>
      </w:r>
      <w:proofErr w:type="spell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гребным винтом. Выходное окно водомёта при движении по суше закрывается броневой заслонкой: при движении по воде закрытие заслонки приводит к направлению воды в каналы заднего хода и созданию тяги заднего хода или тормозной силы на воде. Для управления бронетранспортёром на воде используются передние управляемые колёса машины и водяные рули, расположенные в коробе агрегата управления машиной на плаву.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Электрооборудование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proofErr w:type="spellStart"/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Электрооборудование</w:t>
      </w:r>
      <w:proofErr w:type="spellEnd"/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бронетранспортёра выполнено по однопроводной схеме, кроме розеток переносного светильника и катушки электромагнита выключателя аккумуляторных батарей, которые выполнены по двухпроводной схеме. Номинальное напряжение бортовой сети при работе от аккумуляторов — 24 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в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, 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при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работе от генератора — 27-28 В. Источники электроэнергии: две параллельно соединённые аккумуляторные батареи 12СТ-85Р1 либо последовательно соединённые батареи 6СТ-190ТР и две генераторных установки. Генераторы Г290В — трёхфазные, синхронные. Номинальное напряжение — 28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В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, выпрямленный ток — 115-128 А.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Средства связи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В состав средств связи БТР-80 входят радиостанция Р-123М и танковое переговорное устройство Р-124 на три абонента. На машинах более поздних выпусков Р-123М была заменена Р-163-50У, а Р-124 на Р-174 на 5 абонентов со шлемофонами ТШ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4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. Позже вместо Р-163-50У устанавливались радиостанция Р-173 и радиоприёмник Р-173П (дальность связи — около 20 км).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Вспомогательные системы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Д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ля удаления забортной воды, проникшей в корпус через </w:t>
      </w:r>
      <w:proofErr w:type="spell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неплотности</w:t>
      </w:r>
      <w:proofErr w:type="spell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и повреждения, машина оборудована </w:t>
      </w:r>
      <w:proofErr w:type="spell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эжекционной</w:t>
      </w:r>
      <w:proofErr w:type="spell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системой водоотлива и одним центробежным насосом с электроприводом. Суммарная подача водоотливных средств — не менее 800 л/мин. При преодолении водных преград с высотой волны более 0,5 м, чтобы не допустить попадания 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lastRenderedPageBreak/>
        <w:t xml:space="preserve">воды в силовое отделение, на воздухоприёмники устанавливаются специальные воздухозаборные трубы. Для предотвращения заливания передней части корпуса волнами, бронетранспортёр снабжён </w:t>
      </w:r>
      <w:proofErr w:type="spell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волноотражательным</w:t>
      </w:r>
      <w:proofErr w:type="spell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щитком, который в походном положении откидывается на верхний передний броневой лист корпуса.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Защита от ОМП (поражающих факторов ядерного взрыва, химического и бактериологического оружия) обеспечивается за счёт уплотнительных устройств, системы очистки воздуха и создания в обитаемых отделениях избыточного давления. В комплект БТР входит прибор радиационной разведки ДП-3Б (позже заменён ИМД-21Б), прибор химической разведки ВПХР, танковый дегазационный комплект ТДП.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Противопожарное оборудование состоит из автоматической системы ППО, огнетушителей ОУ-2 и ОП-10А. Система ППО предназначена для тушения пожара в силовом отделении. Может работать как в автоматическом, так и в ручном режиме. Огнегасящий состав — «Хладон 114В2″ или «3,5». Углекислотный огнетушитель ОУ-2 предназначен для тушения небольших очагов пожара. Ёмкость — 2 литра. Для тушения пожара снаружи машины используется порошковый огнетушитель ОП-10А (порошок ПСБ-3).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 xml:space="preserve">БТР-80 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оснащён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лебёдкой для самовытаскивания и вытаскивания других застрявших объектов. Предельное тяговое усилие на крюке — 4400-6000 кгс, с применением блока — 8800-12000 кгс, длина троса — 50 м.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Обитаемость</w:t>
      </w:r>
      <w:proofErr w:type="gram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Д</w:t>
      </w:r>
      <w:proofErr w:type="gram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ля подогрева воздуха в обитаемых отделениях БТР установлены три </w:t>
      </w:r>
      <w:proofErr w:type="spellStart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>отопителя</w:t>
      </w:r>
      <w:proofErr w:type="spellEnd"/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t xml:space="preserve"> калориферного типа с вентиляторами.</w:t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C46715">
        <w:rPr>
          <w:rFonts w:ascii="Segoe UI" w:eastAsia="Times New Roman" w:hAnsi="Segoe UI" w:cs="Segoe UI"/>
          <w:sz w:val="21"/>
          <w:szCs w:val="21"/>
          <w:lang w:eastAsia="ru-RU"/>
        </w:rPr>
        <w:br/>
        <w:t>Для исключения отравления пороховыми газами машина оборудована системой подачи чистого воздуха через маски противогазов к каждому члену экипажа и десанта.</w:t>
      </w:r>
    </w:p>
    <w:p w:rsidR="000917E7" w:rsidRPr="00C46715" w:rsidRDefault="000917E7">
      <w:bookmarkStart w:id="0" w:name="_GoBack"/>
      <w:bookmarkEnd w:id="0"/>
    </w:p>
    <w:sectPr w:rsidR="000917E7" w:rsidRPr="00C4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6FF"/>
    <w:multiLevelType w:val="multilevel"/>
    <w:tmpl w:val="7AC8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A6"/>
    <w:rsid w:val="000917E7"/>
    <w:rsid w:val="003E25A6"/>
    <w:rsid w:val="00C4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80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F1F1F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rday.info/uploads/posts/2015-03/1425476453_zvbk3nuszwy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10751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2016-09-05T08:16:00Z</dcterms:created>
  <dcterms:modified xsi:type="dcterms:W3CDTF">2016-09-05T08:23:00Z</dcterms:modified>
</cp:coreProperties>
</file>